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6.8" w:lineRule="auto"/>
        <w:jc w:val="center"/>
        <w:rPr>
          <w:b w:val="1"/>
        </w:rPr>
      </w:pPr>
      <w:r w:rsidDel="00000000" w:rsidR="00000000" w:rsidRPr="00000000">
        <w:rPr>
          <w:b w:val="1"/>
          <w:rtl w:val="0"/>
        </w:rPr>
        <w:t xml:space="preserve">Hazelwood East High School</w:t>
      </w:r>
      <w:r w:rsidDel="00000000" w:rsidR="00000000" w:rsidRPr="00000000">
        <w:drawing>
          <wp:anchor allowOverlap="1" behindDoc="0" distB="114300" distT="114300" distL="114300" distR="114300" hidden="0" layoutInCell="1" locked="0" relativeHeight="0" simplePos="0">
            <wp:simplePos x="0" y="0"/>
            <wp:positionH relativeFrom="column">
              <wp:posOffset>4629150</wp:posOffset>
            </wp:positionH>
            <wp:positionV relativeFrom="paragraph">
              <wp:posOffset>114300</wp:posOffset>
            </wp:positionV>
            <wp:extent cx="1314450" cy="752475"/>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314450" cy="75247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1314450" cy="752475"/>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14450" cy="752475"/>
                    </a:xfrm>
                    <a:prstGeom prst="rect"/>
                    <a:ln/>
                  </pic:spPr>
                </pic:pic>
              </a:graphicData>
            </a:graphic>
          </wp:anchor>
        </w:drawing>
      </w:r>
    </w:p>
    <w:p w:rsidR="00000000" w:rsidDel="00000000" w:rsidP="00000000" w:rsidRDefault="00000000" w:rsidRPr="00000000" w14:paraId="00000002">
      <w:pPr>
        <w:spacing w:line="256.8" w:lineRule="auto"/>
        <w:jc w:val="center"/>
        <w:rPr>
          <w:b w:val="1"/>
        </w:rPr>
      </w:pPr>
      <w:r w:rsidDel="00000000" w:rsidR="00000000" w:rsidRPr="00000000">
        <w:rPr>
          <w:b w:val="1"/>
          <w:rtl w:val="0"/>
        </w:rPr>
        <w:t xml:space="preserve">Modified Algebra I </w:t>
      </w:r>
    </w:p>
    <w:p w:rsidR="00000000" w:rsidDel="00000000" w:rsidP="00000000" w:rsidRDefault="00000000" w:rsidRPr="00000000" w14:paraId="00000003">
      <w:pPr>
        <w:spacing w:line="256.8" w:lineRule="auto"/>
        <w:jc w:val="center"/>
        <w:rPr>
          <w:b w:val="1"/>
        </w:rPr>
      </w:pPr>
      <w:r w:rsidDel="00000000" w:rsidR="00000000" w:rsidRPr="00000000">
        <w:rPr>
          <w:b w:val="1"/>
          <w:rtl w:val="0"/>
        </w:rPr>
        <w:t xml:space="preserve">2020-2021 School Year</w:t>
      </w:r>
    </w:p>
    <w:p w:rsidR="00000000" w:rsidDel="00000000" w:rsidP="00000000" w:rsidRDefault="00000000" w:rsidRPr="00000000" w14:paraId="00000004">
      <w:pPr>
        <w:spacing w:line="256.8" w:lineRule="auto"/>
        <w:jc w:val="center"/>
        <w:rPr/>
      </w:pPr>
      <w:r w:rsidDel="00000000" w:rsidR="00000000" w:rsidRPr="00000000">
        <w:rPr>
          <w:rtl w:val="0"/>
        </w:rPr>
        <w:t xml:space="preserve">Yolanda Bow</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Contact Information: 314-514-5584 </w:t>
      </w:r>
    </w:p>
    <w:p w:rsidR="00000000" w:rsidDel="00000000" w:rsidP="00000000" w:rsidRDefault="00000000" w:rsidRPr="00000000" w14:paraId="00000008">
      <w:pPr>
        <w:rPr>
          <w:b w:val="1"/>
        </w:rPr>
      </w:pPr>
      <w:r w:rsidDel="00000000" w:rsidR="00000000" w:rsidRPr="00000000">
        <w:rPr>
          <w:b w:val="1"/>
          <w:rtl w:val="0"/>
        </w:rPr>
        <w:t xml:space="preserve">E-mail: </w:t>
      </w:r>
      <w:hyperlink r:id="rId8">
        <w:r w:rsidDel="00000000" w:rsidR="00000000" w:rsidRPr="00000000">
          <w:rPr>
            <w:b w:val="1"/>
            <w:color w:val="1155cc"/>
            <w:u w:val="single"/>
            <w:rtl w:val="0"/>
          </w:rPr>
          <w:t xml:space="preserve">ybow@hazelwoodschools.org</w:t>
        </w:r>
      </w:hyperlink>
      <w:r w:rsidDel="00000000" w:rsidR="00000000" w:rsidRPr="00000000">
        <w:rPr>
          <w:b w:val="1"/>
          <w:rtl w:val="0"/>
        </w:rPr>
        <w:t xml:space="preserve"> or </w:t>
      </w:r>
      <w:hyperlink r:id="rId9">
        <w:r w:rsidDel="00000000" w:rsidR="00000000" w:rsidRPr="00000000">
          <w:rPr>
            <w:b w:val="1"/>
            <w:color w:val="1155cc"/>
            <w:u w:val="single"/>
            <w:rtl w:val="0"/>
          </w:rPr>
          <w:t xml:space="preserve">yabow@ssdmo.org</w:t>
        </w:r>
      </w:hyperlink>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Classroom: Google Classroom</w:t>
      </w:r>
    </w:p>
    <w:p w:rsidR="00000000" w:rsidDel="00000000" w:rsidP="00000000" w:rsidRDefault="00000000" w:rsidRPr="00000000" w14:paraId="0000000A">
      <w:pPr>
        <w:rPr>
          <w:b w:val="1"/>
        </w:rPr>
      </w:pPr>
      <w:r w:rsidDel="00000000" w:rsidR="00000000" w:rsidRPr="00000000">
        <w:rPr>
          <w:b w:val="1"/>
          <w:rtl w:val="0"/>
        </w:rPr>
        <w:t xml:space="preserve">Room: C335</w:t>
      </w:r>
    </w:p>
    <w:p w:rsidR="00000000" w:rsidDel="00000000" w:rsidP="00000000" w:rsidRDefault="00000000" w:rsidRPr="00000000" w14:paraId="0000000B">
      <w:pPr>
        <w:rPr>
          <w:b w:val="1"/>
        </w:rPr>
      </w:pPr>
      <w:r w:rsidDel="00000000" w:rsidR="00000000" w:rsidRPr="00000000">
        <w:rPr>
          <w:b w:val="1"/>
          <w:rtl w:val="0"/>
        </w:rPr>
        <w:t xml:space="preserve"> </w:t>
      </w:r>
    </w:p>
    <w:p w:rsidR="00000000" w:rsidDel="00000000" w:rsidP="00000000" w:rsidRDefault="00000000" w:rsidRPr="00000000" w14:paraId="0000000C">
      <w:pPr>
        <w:rPr>
          <w:b w:val="1"/>
        </w:rPr>
      </w:pPr>
      <w:r w:rsidDel="00000000" w:rsidR="00000000" w:rsidRPr="00000000">
        <w:rPr>
          <w:b w:val="1"/>
          <w:rtl w:val="0"/>
        </w:rPr>
        <w:t xml:space="preserve">Course Description:</w:t>
      </w:r>
    </w:p>
    <w:p w:rsidR="00000000" w:rsidDel="00000000" w:rsidP="00000000" w:rsidRDefault="00000000" w:rsidRPr="00000000" w14:paraId="0000000D">
      <w:pPr>
        <w:rPr/>
      </w:pPr>
      <w:r w:rsidDel="00000000" w:rsidR="00000000" w:rsidRPr="00000000">
        <w:rPr>
          <w:rtl w:val="0"/>
        </w:rPr>
        <w:t xml:space="preserve">The fundamental purpose of this course is to formalize and extend the mathematics that students learned in the middle grades. Because it is built on the middle grades standards, this is a more ambitious version of Algebra I than has generally been offered. The critical areas, called units, deepen and extend understanding of linear and exponential relationships by contrasting them with each other and by applying linear models to data that exhibit a linear trend, and students engage in methods for analyzing, solving, and using quadratic functions. The Mathematical Practice Standards apply throughout each course and, together with the content standards, prescribe that students experience mathematics as a coherent, useful, and logical subject that makes use of their ability to make sense of problem situations.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Course Rationale:</w:t>
      </w:r>
    </w:p>
    <w:p w:rsidR="00000000" w:rsidDel="00000000" w:rsidP="00000000" w:rsidRDefault="00000000" w:rsidRPr="00000000" w14:paraId="00000010">
      <w:pPr>
        <w:rPr/>
      </w:pPr>
      <w:r w:rsidDel="00000000" w:rsidR="00000000" w:rsidRPr="00000000">
        <w:rPr>
          <w:rtl w:val="0"/>
        </w:rPr>
        <w:t xml:space="preserve">Algebra I is designed to provide students with a strong foundation in mathematics in order to prepare students for upper level mathematics courses. Students will also develop problem solving skills by engaging in algebraic concepts. </w:t>
      </w:r>
    </w:p>
    <w:p w:rsidR="00000000" w:rsidDel="00000000" w:rsidP="00000000" w:rsidRDefault="00000000" w:rsidRPr="00000000" w14:paraId="00000011">
      <w:pPr>
        <w:ind w:left="280" w:firstLine="0"/>
        <w:rPr>
          <w:b w:val="1"/>
        </w:rPr>
      </w:pPr>
      <w:r w:rsidDel="00000000" w:rsidR="00000000" w:rsidRPr="00000000">
        <w:rPr>
          <w:rtl w:val="0"/>
        </w:rPr>
      </w:r>
    </w:p>
    <w:p w:rsidR="00000000" w:rsidDel="00000000" w:rsidP="00000000" w:rsidRDefault="00000000" w:rsidRPr="00000000" w14:paraId="00000012">
      <w:pPr>
        <w:ind w:left="0" w:firstLine="0"/>
        <w:rPr>
          <w:b w:val="1"/>
        </w:rPr>
      </w:pPr>
      <w:r w:rsidDel="00000000" w:rsidR="00000000" w:rsidRPr="00000000">
        <w:rPr>
          <w:b w:val="1"/>
          <w:rtl w:val="0"/>
        </w:rPr>
        <w:t xml:space="preserve">Grading:</w:t>
      </w:r>
      <w:r w:rsidDel="00000000" w:rsidR="00000000" w:rsidRPr="00000000">
        <w:drawing>
          <wp:anchor allowOverlap="1" behindDoc="0" distB="114300" distT="114300" distL="114300" distR="114300" hidden="0" layoutInCell="1" locked="0" relativeHeight="0" simplePos="0">
            <wp:simplePos x="0" y="0"/>
            <wp:positionH relativeFrom="column">
              <wp:posOffset>3848100</wp:posOffset>
            </wp:positionH>
            <wp:positionV relativeFrom="paragraph">
              <wp:posOffset>133350</wp:posOffset>
            </wp:positionV>
            <wp:extent cx="2295525" cy="1333500"/>
            <wp:effectExtent b="0" l="0" r="0" t="0"/>
            <wp:wrapSquare wrapText="bothSides" distB="114300" distT="114300" distL="114300" distR="114300"/>
            <wp:docPr id="3"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2295525" cy="1333500"/>
                    </a:xfrm>
                    <a:prstGeom prst="rect"/>
                    <a:ln/>
                  </pic:spPr>
                </pic:pic>
              </a:graphicData>
            </a:graphic>
          </wp:anchor>
        </w:drawing>
      </w:r>
    </w:p>
    <w:tbl>
      <w:tblPr>
        <w:tblStyle w:val="Table1"/>
        <w:tblW w:w="469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05"/>
        <w:gridCol w:w="1590"/>
        <w:tblGridChange w:id="0">
          <w:tblGrid>
            <w:gridCol w:w="3105"/>
            <w:gridCol w:w="1590"/>
          </w:tblGrid>
        </w:tblGridChange>
      </w:tblGrid>
      <w:tr>
        <w:trPr>
          <w:trHeight w:val="280" w:hRule="atLeast"/>
        </w:trPr>
        <w:tc>
          <w:tcPr>
            <w:tcBorders>
              <w:top w:color="000000" w:space="0" w:sz="8" w:val="single"/>
              <w:left w:color="000000" w:space="0" w:sz="8" w:val="single"/>
              <w:bottom w:color="000000" w:space="0" w:sz="8" w:val="single"/>
              <w:right w:color="000000" w:space="0" w:sz="8" w:val="single"/>
            </w:tcBorders>
            <w:shd w:fill="d9d9d9" w:val="clear"/>
            <w:tcMar>
              <w:top w:w="20.0" w:type="dxa"/>
              <w:left w:w="120.0" w:type="dxa"/>
              <w:bottom w:w="100.0" w:type="dxa"/>
              <w:right w:w="60.0" w:type="dxa"/>
            </w:tcMar>
            <w:vAlign w:val="top"/>
          </w:tcPr>
          <w:p w:rsidR="00000000" w:rsidDel="00000000" w:rsidP="00000000" w:rsidRDefault="00000000" w:rsidRPr="00000000" w14:paraId="00000013">
            <w:pPr>
              <w:spacing w:line="256.8" w:lineRule="auto"/>
              <w:ind w:left="-40" w:firstLine="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Grading Category</w:t>
            </w:r>
          </w:p>
        </w:tc>
        <w:tc>
          <w:tcPr>
            <w:tcBorders>
              <w:top w:color="000000" w:space="0" w:sz="8" w:val="single"/>
              <w:left w:color="000000" w:space="0" w:sz="0" w:val="nil"/>
              <w:bottom w:color="000000" w:space="0" w:sz="8" w:val="single"/>
              <w:right w:color="000000" w:space="0" w:sz="8" w:val="single"/>
            </w:tcBorders>
            <w:shd w:fill="d9d9d9" w:val="clear"/>
            <w:tcMar>
              <w:top w:w="20.0" w:type="dxa"/>
              <w:left w:w="120.0" w:type="dxa"/>
              <w:bottom w:w="100.0" w:type="dxa"/>
              <w:right w:w="60.0" w:type="dxa"/>
            </w:tcMar>
            <w:vAlign w:val="top"/>
          </w:tcPr>
          <w:p w:rsidR="00000000" w:rsidDel="00000000" w:rsidP="00000000" w:rsidRDefault="00000000" w:rsidRPr="00000000" w14:paraId="00000014">
            <w:pPr>
              <w:spacing w:line="256.8" w:lineRule="auto"/>
              <w:ind w:left="-40" w:firstLine="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Weighted</w:t>
            </w:r>
          </w:p>
        </w:tc>
      </w:tr>
      <w:tr>
        <w:trPr>
          <w:trHeight w:val="360" w:hRule="atLeast"/>
        </w:trPr>
        <w:tc>
          <w:tcPr>
            <w:tcBorders>
              <w:top w:color="000000" w:space="0" w:sz="0" w:val="nil"/>
              <w:left w:color="000000" w:space="0" w:sz="8" w:val="single"/>
              <w:bottom w:color="000000" w:space="0" w:sz="8" w:val="single"/>
              <w:right w:color="000000" w:space="0" w:sz="8" w:val="single"/>
            </w:tcBorders>
            <w:shd w:fill="d9d9d9" w:val="clear"/>
            <w:tcMar>
              <w:top w:w="20.0" w:type="dxa"/>
              <w:left w:w="120.0" w:type="dxa"/>
              <w:bottom w:w="100.0" w:type="dxa"/>
              <w:right w:w="60.0" w:type="dxa"/>
            </w:tcMar>
            <w:vAlign w:val="top"/>
          </w:tcPr>
          <w:p w:rsidR="00000000" w:rsidDel="00000000" w:rsidP="00000000" w:rsidRDefault="00000000" w:rsidRPr="00000000" w14:paraId="00000015">
            <w:pPr>
              <w:spacing w:line="256.8" w:lineRule="auto"/>
              <w:ind w:left="-40" w:firstLine="0"/>
              <w:jc w:val="cente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Tests:</w:t>
            </w:r>
          </w:p>
        </w:tc>
        <w:tc>
          <w:tcPr>
            <w:tcBorders>
              <w:top w:color="000000" w:space="0" w:sz="0" w:val="nil"/>
              <w:left w:color="000000" w:space="0" w:sz="8" w:val="single"/>
              <w:bottom w:color="000000" w:space="0" w:sz="8" w:val="single"/>
              <w:right w:color="000000" w:space="0" w:sz="8" w:val="single"/>
            </w:tcBorders>
            <w:shd w:fill="d9d9d9" w:val="clear"/>
            <w:tcMar>
              <w:top w:w="20.0" w:type="dxa"/>
              <w:left w:w="120.0" w:type="dxa"/>
              <w:bottom w:w="100.0" w:type="dxa"/>
              <w:right w:w="60.0" w:type="dxa"/>
            </w:tcMar>
            <w:vAlign w:val="top"/>
          </w:tcPr>
          <w:p w:rsidR="00000000" w:rsidDel="00000000" w:rsidP="00000000" w:rsidRDefault="00000000" w:rsidRPr="00000000" w14:paraId="00000016">
            <w:pPr>
              <w:spacing w:line="256.8" w:lineRule="auto"/>
              <w:ind w:left="-40" w:right="20"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70%</w:t>
            </w:r>
          </w:p>
        </w:tc>
      </w:tr>
      <w:tr>
        <w:trPr>
          <w:trHeight w:val="1520" w:hRule="atLeast"/>
        </w:trPr>
        <w:tc>
          <w:tcPr>
            <w:gridSpan w:val="2"/>
            <w:tcBorders>
              <w:top w:color="000000" w:space="0" w:sz="8" w:val="single"/>
              <w:left w:color="000000" w:space="0" w:sz="8" w:val="single"/>
              <w:bottom w:color="000000" w:space="0" w:sz="8" w:val="single"/>
              <w:right w:color="ffffff" w:space="0" w:sz="8" w:val="single"/>
            </w:tcBorders>
            <w:shd w:fill="ffffff" w:val="clear"/>
            <w:tcMar>
              <w:top w:w="20.0" w:type="dxa"/>
              <w:left w:w="120.0" w:type="dxa"/>
              <w:bottom w:w="100.0" w:type="dxa"/>
              <w:right w:w="60.0" w:type="dxa"/>
            </w:tcMar>
            <w:vAlign w:val="top"/>
          </w:tcPr>
          <w:p w:rsidR="00000000" w:rsidDel="00000000" w:rsidP="00000000" w:rsidRDefault="00000000" w:rsidRPr="00000000" w14:paraId="00000017">
            <w:pPr>
              <w:spacing w:line="256.8" w:lineRule="auto"/>
              <w:ind w:left="-40" w:firstLine="0"/>
              <w:jc w:val="left"/>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018">
            <w:pPr>
              <w:spacing w:line="256.8" w:lineRule="auto"/>
              <w:ind w:left="-40"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Common Summative Assessments(CSA/Tests)</w:t>
            </w:r>
          </w:p>
          <w:p w:rsidR="00000000" w:rsidDel="00000000" w:rsidP="00000000" w:rsidRDefault="00000000" w:rsidRPr="00000000" w14:paraId="00000019">
            <w:pPr>
              <w:spacing w:line="256.8" w:lineRule="auto"/>
              <w:ind w:left="-40" w:firstLine="0"/>
              <w:jc w:val="lef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A">
            <w:pPr>
              <w:spacing w:line="256.8" w:lineRule="auto"/>
              <w:ind w:left="-40"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Common Formative Assessments (CFA/Quizzes)</w:t>
            </w:r>
          </w:p>
          <w:p w:rsidR="00000000" w:rsidDel="00000000" w:rsidP="00000000" w:rsidRDefault="00000000" w:rsidRPr="00000000" w14:paraId="0000001B">
            <w:pPr>
              <w:spacing w:line="256.8" w:lineRule="auto"/>
              <w:ind w:left="-40" w:firstLine="0"/>
              <w:jc w:val="center"/>
              <w:rPr>
                <w:sz w:val="18"/>
                <w:szCs w:val="18"/>
              </w:rPr>
            </w:pPr>
            <w:r w:rsidDel="00000000" w:rsidR="00000000" w:rsidRPr="00000000">
              <w:rPr>
                <w:sz w:val="18"/>
                <w:szCs w:val="18"/>
                <w:rtl w:val="0"/>
              </w:rPr>
              <w:t xml:space="preserve"> </w:t>
            </w:r>
          </w:p>
          <w:p w:rsidR="00000000" w:rsidDel="00000000" w:rsidP="00000000" w:rsidRDefault="00000000" w:rsidRPr="00000000" w14:paraId="0000001C">
            <w:pPr>
              <w:spacing w:line="256.8" w:lineRule="auto"/>
              <w:ind w:left="-40"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EOC – 2</w:t>
            </w:r>
            <w:r w:rsidDel="00000000" w:rsidR="00000000" w:rsidRPr="00000000">
              <w:rPr>
                <w:rFonts w:ascii="Times New Roman" w:cs="Times New Roman" w:eastAsia="Times New Roman" w:hAnsi="Times New Roman"/>
                <w:sz w:val="18"/>
                <w:szCs w:val="18"/>
                <w:vertAlign w:val="superscript"/>
                <w:rtl w:val="0"/>
              </w:rPr>
              <w:t xml:space="preserve">nd</w:t>
            </w:r>
            <w:r w:rsidDel="00000000" w:rsidR="00000000" w:rsidRPr="00000000">
              <w:rPr>
                <w:rFonts w:ascii="Times New Roman" w:cs="Times New Roman" w:eastAsia="Times New Roman" w:hAnsi="Times New Roman"/>
                <w:sz w:val="18"/>
                <w:szCs w:val="18"/>
                <w:rtl w:val="0"/>
              </w:rPr>
              <w:t xml:space="preserve"> Semester (15%)</w:t>
            </w:r>
          </w:p>
        </w:tc>
      </w:tr>
      <w:tr>
        <w:trPr>
          <w:trHeight w:val="360" w:hRule="atLeast"/>
        </w:trPr>
        <w:tc>
          <w:tcPr>
            <w:tcBorders>
              <w:top w:color="000000" w:space="0" w:sz="0" w:val="nil"/>
              <w:left w:color="000000" w:space="0" w:sz="8" w:val="single"/>
              <w:bottom w:color="000000" w:space="0" w:sz="8" w:val="single"/>
              <w:right w:color="000000" w:space="0" w:sz="8" w:val="single"/>
            </w:tcBorders>
            <w:shd w:fill="d9d9d9" w:val="clear"/>
            <w:tcMar>
              <w:top w:w="20.0" w:type="dxa"/>
              <w:left w:w="120.0" w:type="dxa"/>
              <w:bottom w:w="100.0" w:type="dxa"/>
              <w:right w:w="60.0" w:type="dxa"/>
            </w:tcMar>
            <w:vAlign w:val="top"/>
          </w:tcPr>
          <w:p w:rsidR="00000000" w:rsidDel="00000000" w:rsidP="00000000" w:rsidRDefault="00000000" w:rsidRPr="00000000" w14:paraId="0000001E">
            <w:pPr>
              <w:spacing w:line="256.8" w:lineRule="auto"/>
              <w:ind w:left="-40" w:firstLine="0"/>
              <w:jc w:val="cente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Classwork:</w:t>
            </w:r>
          </w:p>
        </w:tc>
        <w:tc>
          <w:tcPr>
            <w:tcBorders>
              <w:top w:color="000000" w:space="0" w:sz="0" w:val="nil"/>
              <w:left w:color="000000" w:space="0" w:sz="0" w:val="nil"/>
              <w:bottom w:color="000000" w:space="0" w:sz="8" w:val="single"/>
              <w:right w:color="000000" w:space="0" w:sz="8" w:val="single"/>
            </w:tcBorders>
            <w:shd w:fill="d9d9d9" w:val="clear"/>
            <w:tcMar>
              <w:top w:w="20.0" w:type="dxa"/>
              <w:left w:w="120.0" w:type="dxa"/>
              <w:bottom w:w="100.0" w:type="dxa"/>
              <w:right w:w="60.0" w:type="dxa"/>
            </w:tcMar>
            <w:vAlign w:val="top"/>
          </w:tcPr>
          <w:p w:rsidR="00000000" w:rsidDel="00000000" w:rsidP="00000000" w:rsidRDefault="00000000" w:rsidRPr="00000000" w14:paraId="0000001F">
            <w:pPr>
              <w:spacing w:line="256.8" w:lineRule="auto"/>
              <w:ind w:left="-40" w:right="20"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30%</w:t>
            </w:r>
          </w:p>
        </w:tc>
      </w:tr>
      <w:tr>
        <w:trPr>
          <w:trHeight w:val="540" w:hRule="atLeast"/>
        </w:trPr>
        <w:tc>
          <w:tcPr>
            <w:gridSpan w:val="2"/>
            <w:tcBorders>
              <w:top w:color="000000" w:space="0" w:sz="0" w:val="nil"/>
              <w:left w:color="000000" w:space="0" w:sz="8" w:val="single"/>
              <w:bottom w:color="000000" w:space="0" w:sz="8" w:val="single"/>
              <w:right w:color="000000" w:space="0" w:sz="8" w:val="single"/>
            </w:tcBorders>
            <w:shd w:fill="ffffff" w:val="clear"/>
            <w:tcMar>
              <w:top w:w="20.0" w:type="dxa"/>
              <w:left w:w="120.0" w:type="dxa"/>
              <w:bottom w:w="100.0" w:type="dxa"/>
              <w:right w:w="60.0" w:type="dxa"/>
            </w:tcMar>
            <w:vAlign w:val="top"/>
          </w:tcPr>
          <w:p w:rsidR="00000000" w:rsidDel="00000000" w:rsidP="00000000" w:rsidRDefault="00000000" w:rsidRPr="00000000" w14:paraId="00000020">
            <w:pPr>
              <w:spacing w:line="256.8" w:lineRule="auto"/>
              <w:ind w:left="-40" w:firstLine="0"/>
              <w:jc w:val="cente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Formative Assessments</w:t>
            </w:r>
          </w:p>
          <w:p w:rsidR="00000000" w:rsidDel="00000000" w:rsidP="00000000" w:rsidRDefault="00000000" w:rsidRPr="00000000" w14:paraId="00000021">
            <w:pPr>
              <w:spacing w:line="256.8" w:lineRule="auto"/>
              <w:ind w:left="-40" w:firstLine="0"/>
              <w:jc w:val="cente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022">
            <w:pPr>
              <w:spacing w:line="256.8" w:lineRule="auto"/>
              <w:ind w:left="-40" w:right="-40"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Classwork, Homework, Participation, Projects, Activities</w:t>
            </w:r>
          </w:p>
        </w:tc>
      </w:tr>
    </w:tbl>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pPr>
      <w:r w:rsidDel="00000000" w:rsidR="00000000" w:rsidRPr="00000000">
        <w:rPr>
          <w:b w:val="1"/>
          <w:rtl w:val="0"/>
        </w:rPr>
        <w:t xml:space="preserve">EOC:</w:t>
      </w:r>
      <w:r w:rsidDel="00000000" w:rsidR="00000000" w:rsidRPr="00000000">
        <w:rPr>
          <w:rtl w:val="0"/>
        </w:rPr>
        <w:t xml:space="preserve">Near the end of the second semester, students will be taking an end of course assessment given by the state. This test will rate students as advanced, proficient, basic, or below basic in their algebra I skills. This assessment will count as 15% of students grade second semester.</w:t>
      </w:r>
    </w:p>
    <w:sectPr>
      <w:pgSz w:h="15840" w:w="12240"/>
      <w:pgMar w:bottom="81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3.png"/><Relationship Id="rId9" Type="http://schemas.openxmlformats.org/officeDocument/2006/relationships/hyperlink" Target="mailto:yabow@ssdmo.org"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mailto:ybow@hazelwood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